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October 2013</w:t>
      </w:r>
      <w:r>
        <w:rPr>
          <w:rFonts w:ascii="Century Gothic" w:hAnsi="Century Gothic"/>
        </w:rPr>
        <w:tab/>
      </w:r>
      <w:r>
        <w:rPr>
          <w:rFonts w:ascii="Century Gothic" w:hAnsi="Century Gothic"/>
        </w:rPr>
        <w:tab/>
      </w:r>
      <w:r>
        <w:rPr>
          <w:rFonts w:ascii="Century Gothic" w:hAnsi="Century Gothic"/>
        </w:rPr>
        <w:tab/>
      </w:r>
    </w:p>
    <w:p>
      <w:pPr>
        <w:spacing w:before="6" w:after="6"/>
        <w:jc w:val="center"/>
        <w:rPr>
          <w:rFonts w:ascii="Century Gothic" w:hAnsi="Century Gothic"/>
          <w:b/>
        </w:rPr>
      </w:pPr>
      <w:r>
        <w:rPr>
          <w:rFonts w:ascii="AvantGarde" w:hAnsi="AvantGarde"/>
          <w:b/>
          <w:bCs/>
          <w:color w:val="012169"/>
          <w:sz w:val="24"/>
          <w:szCs w:val="24"/>
        </w:rPr>
        <w:t xml:space="preserve">Depreciation rate finder now available at your fingertips </w:t>
      </w:r>
    </w:p>
    <w:p>
      <w:pPr>
        <w:spacing w:before="6" w:after="6"/>
        <w:jc w:val="both"/>
        <w:rPr>
          <w:rFonts w:ascii="Century Gothic" w:hAnsi="Century Gothic"/>
        </w:rPr>
      </w:pPr>
    </w:p>
    <w:p>
      <w:pPr>
        <w:spacing w:before="6" w:after="6"/>
        <w:jc w:val="both"/>
        <w:rPr>
          <w:rFonts w:ascii="Century Gothic" w:hAnsi="Century Gothic"/>
          <w:sz w:val="2"/>
        </w:rPr>
      </w:pP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BMT Tax Depreciation has released a handy new App to assist Accountants in finding out the effective life and depreciation rate for any plant and equipment asset.</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“In today’s fast paced world it can be difficult for Accountants to stay on top of every update the Australian Taxation Office (ATO) release. As specialist Quantity Surveyors and the leading provider of property tax depreciation schedules Australia-wide, BMT stay accurately informed with the latest legislation advice announced by the ATO. We wanted to share this knowledge in a simple and easy to use format,” said Bradley Beer, the Managing Director of BMT Tax Depreciation. </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“Rate Finder is a great tool which will help Accountants to keep informed, add value to their existing service, and provide them with additional necessary information required when they are lodging a depreciation claim as part of their clients’ tax returns,” said Bradley.</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rPr>
        <w:t>The BMT Rate Finder App allows Accountants to search by industry or asset to find out the effective life of any asset as well as the depreciation rate for the asset using both the Prime Cost and Diminishing Value methods of depreciation.</w:t>
      </w:r>
    </w:p>
    <w:p>
      <w:pPr>
        <w:pStyle w:val="NormalWeb"/>
        <w:spacing w:before="120" w:beforeAutospacing="0" w:after="120"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Available for free, the Rate Finder App can be downloaded for either iPhone or Android phone simply by visiting </w:t>
      </w:r>
      <w:hyperlink r:id="rId7" w:history="1">
        <w:r>
          <w:rPr>
            <w:rStyle w:val="Hyperlink"/>
            <w:rFonts w:ascii="Century Gothic" w:hAnsi="Century Gothic"/>
            <w:sz w:val="20"/>
            <w:szCs w:val="20"/>
          </w:rPr>
          <w:t>www.bmtqs.com.au/rate-finder</w:t>
        </w:r>
      </w:hyperlink>
      <w:r>
        <w:rPr>
          <w:rFonts w:ascii="Century Gothic" w:hAnsi="Century Gothic"/>
          <w:color w:val="000000"/>
          <w:sz w:val="20"/>
          <w:szCs w:val="20"/>
          <w:lang w:val="en-US"/>
        </w:rPr>
        <w:t xml:space="preserve">. </w:t>
      </w:r>
    </w:p>
    <w:p>
      <w:pPr>
        <w:pStyle w:val="NormalWeb"/>
        <w:spacing w:before="120" w:beforeAutospacing="0" w:after="120"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Alternatively, Rate Finder is available online for use on the BMT Tax Depreciation website by visiting </w:t>
      </w:r>
      <w:hyperlink r:id="rId8" w:history="1">
        <w:r>
          <w:rPr>
            <w:rStyle w:val="Hyperlink"/>
            <w:rFonts w:ascii="Century Gothic" w:hAnsi="Century Gothic"/>
            <w:sz w:val="20"/>
            <w:szCs w:val="20"/>
          </w:rPr>
          <w:t>www.bmtqs.com.au/depreciation-rate-finder</w:t>
        </w:r>
      </w:hyperlink>
      <w:r>
        <w:rPr>
          <w:rFonts w:ascii="Century Gothic" w:hAnsi="Century Gothic"/>
          <w:sz w:val="20"/>
          <w:szCs w:val="20"/>
        </w:rPr>
        <w:t xml:space="preserve">. A residential version of the App called BMT </w:t>
      </w:r>
      <w:proofErr w:type="spellStart"/>
      <w:r>
        <w:rPr>
          <w:rFonts w:ascii="Century Gothic" w:hAnsi="Century Gothic"/>
          <w:sz w:val="20"/>
          <w:szCs w:val="20"/>
        </w:rPr>
        <w:t>Resi</w:t>
      </w:r>
      <w:proofErr w:type="spellEnd"/>
      <w:r>
        <w:rPr>
          <w:rFonts w:ascii="Century Gothic" w:hAnsi="Century Gothic"/>
          <w:sz w:val="20"/>
          <w:szCs w:val="20"/>
        </w:rPr>
        <w:t xml:space="preserve"> Rates, designed specifically for use by Property Managers, has also been released for iPhone and Android phone and can be downloaded by searching for BMT </w:t>
      </w:r>
      <w:proofErr w:type="spellStart"/>
      <w:r>
        <w:rPr>
          <w:rFonts w:ascii="Century Gothic" w:hAnsi="Century Gothic"/>
          <w:sz w:val="20"/>
          <w:szCs w:val="20"/>
        </w:rPr>
        <w:t>Resi</w:t>
      </w:r>
      <w:proofErr w:type="spellEnd"/>
      <w:r>
        <w:rPr>
          <w:rFonts w:ascii="Century Gothic" w:hAnsi="Century Gothic"/>
          <w:sz w:val="20"/>
          <w:szCs w:val="20"/>
        </w:rPr>
        <w:t xml:space="preserve"> Rates on the App store.</w:t>
      </w:r>
    </w:p>
    <w:p>
      <w:pPr>
        <w:spacing w:before="6" w:after="6"/>
        <w:rPr>
          <w:rFonts w:ascii="Century Gothic" w:hAnsi="Century Gothic"/>
          <w:b/>
          <w:bCs/>
        </w:rPr>
      </w:pPr>
      <w:r>
        <w:rPr>
          <w:rFonts w:ascii="Century Gothic" w:hAnsi="Century Gothic"/>
          <w:b/>
          <w:bCs/>
        </w:rPr>
        <w:t>*ENDS*</w:t>
      </w:r>
    </w:p>
    <w:p>
      <w:pPr>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9"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p>
    <w:p>
      <w:pPr>
        <w:spacing w:before="0" w:after="0"/>
        <w:rPr>
          <w:rStyle w:val="Hyperlink"/>
          <w:rFonts w:ascii="Century Gothic" w:hAnsi="Century Gothic"/>
          <w:b/>
          <w:color w:val="000000" w:themeColor="text1"/>
        </w:rPr>
      </w:pPr>
    </w:p>
    <w:p>
      <w:pPr>
        <w:spacing w:before="0" w:after="0"/>
        <w:rPr>
          <w:rStyle w:val="Hyperlink"/>
          <w:rFonts w:ascii="Century Gothic" w:hAnsi="Century Gothic"/>
          <w:b/>
          <w:color w:val="000000" w:themeColor="text1"/>
        </w:rPr>
      </w:pPr>
      <w:bookmarkStart w:id="0" w:name="_GoBack"/>
      <w:bookmarkEnd w:id="0"/>
      <w:r>
        <w:rPr>
          <w:rStyle w:val="Hyperlink"/>
          <w:rFonts w:ascii="Century Gothic" w:hAnsi="Century Gothic"/>
          <w:b/>
          <w:color w:val="000000" w:themeColor="text1"/>
        </w:rPr>
        <w:lastRenderedPageBreak/>
        <w:t>About BMT Tax Depreciation</w:t>
      </w:r>
    </w:p>
    <w:p>
      <w:pPr>
        <w:rPr>
          <w:rStyle w:val="Hyperlink"/>
          <w:rFonts w:ascii="Century Gothic" w:hAnsi="Century Gothic"/>
          <w:color w:val="000000" w:themeColor="text1"/>
        </w:rPr>
      </w:pPr>
    </w:p>
    <w:p>
      <w:pPr>
        <w:spacing w:line="360" w:lineRule="auto"/>
        <w:jc w:val="both"/>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p>
    <w:p>
      <w:pPr>
        <w:spacing w:before="0" w:after="0"/>
        <w:rPr>
          <w:rFonts w:ascii="Century Gothic" w:hAnsi="Century Gothic"/>
          <w:color w:val="000000" w:themeColor="text1"/>
        </w:rPr>
      </w:pPr>
    </w:p>
    <w:sectPr>
      <w:headerReference w:type="default" r:id="rId10"/>
      <w:footerReference w:type="default" r:id="rId11"/>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 w:type="paragraph" w:styleId="BodyText2">
    <w:name w:val="Body Text 2"/>
    <w:basedOn w:val="Normal"/>
    <w:link w:val="BodyText2Char"/>
    <w:uiPriority w:val="99"/>
    <w:unhideWhenUsed/>
    <w:pPr>
      <w:spacing w:before="0" w:after="200"/>
      <w:jc w:val="both"/>
    </w:pPr>
    <w:rPr>
      <w:rFonts w:asciiTheme="minorHAnsi" w:hAnsiTheme="minorHAnsi"/>
      <w:color w:val="000000" w:themeColor="text1"/>
    </w:rPr>
  </w:style>
  <w:style w:type="character" w:customStyle="1" w:styleId="BodyText2Char">
    <w:name w:val="Body Text 2 Char"/>
    <w:basedOn w:val="DefaultParagraphFont"/>
    <w:link w:val="BodyText2"/>
    <w:uiPriority w:val="99"/>
    <w:rPr>
      <w:rFonts w:asciiTheme="minorHAnsi" w:hAnsiTheme="minorHAnsi"/>
      <w:color w:val="000000" w:themeColor="text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 w:id="12932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tqs.com.au/depreciation-rate-fin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tqs.com.au/rate-find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ad.beer@bmtnews.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7163-A8A2-4390-B113-A357BECC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dc:creator>
  <cp:lastModifiedBy>Rani Bonwick</cp:lastModifiedBy>
  <cp:revision>5</cp:revision>
  <cp:lastPrinted>2014-03-13T22:19:00Z</cp:lastPrinted>
  <dcterms:created xsi:type="dcterms:W3CDTF">2015-02-18T06:16:00Z</dcterms:created>
  <dcterms:modified xsi:type="dcterms:W3CDTF">2015-05-21T07:02:00Z</dcterms:modified>
</cp:coreProperties>
</file>